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C0124" w14:textId="1B771A02" w:rsidR="000E030B" w:rsidRPr="0060089B" w:rsidRDefault="000E030B" w:rsidP="000E030B">
      <w:pPr>
        <w:jc w:val="center"/>
        <w:rPr>
          <w:rFonts w:ascii="AvenirNext LT Pro LightCn" w:hAnsi="AvenirNext LT Pro LightCn" w:cs="Arial"/>
          <w:b/>
          <w:bCs/>
          <w:sz w:val="24"/>
          <w:szCs w:val="24"/>
        </w:rPr>
      </w:pPr>
      <w:r>
        <w:rPr>
          <w:rFonts w:ascii="AvenirNext LT Pro LightCn" w:hAnsi="AvenirNext LT Pro LightCn" w:cs="Arial"/>
          <w:b/>
          <w:bCs/>
          <w:sz w:val="24"/>
          <w:szCs w:val="24"/>
        </w:rPr>
        <w:t xml:space="preserve">Cadre de réponse du </w:t>
      </w:r>
      <w:r>
        <w:rPr>
          <w:rFonts w:ascii="AvenirNext LT Pro LightCn" w:hAnsi="AvenirNext LT Pro LightCn" w:cs="Arial"/>
          <w:b/>
          <w:bCs/>
          <w:sz w:val="24"/>
          <w:szCs w:val="24"/>
        </w:rPr>
        <w:t>Mémoire technique</w:t>
      </w:r>
    </w:p>
    <w:p w14:paraId="0FB4837E" w14:textId="77777777" w:rsidR="000E030B" w:rsidRPr="0060089B" w:rsidRDefault="000E030B" w:rsidP="000E030B">
      <w:pPr>
        <w:jc w:val="center"/>
        <w:rPr>
          <w:rFonts w:ascii="AvenirNext LT Pro LightCn" w:hAnsi="AvenirNext LT Pro LightCn" w:cs="Arial"/>
          <w:b/>
          <w:bCs/>
          <w:sz w:val="22"/>
          <w:szCs w:val="22"/>
        </w:rPr>
      </w:pPr>
    </w:p>
    <w:p w14:paraId="1B254235" w14:textId="09E2C074" w:rsidR="000E030B" w:rsidRPr="0060089B" w:rsidRDefault="000E030B" w:rsidP="000E030B">
      <w:pPr>
        <w:jc w:val="center"/>
        <w:rPr>
          <w:rFonts w:ascii="AvenirNext LT Pro LightCn" w:hAnsi="AvenirNext LT Pro LightCn" w:cs="Arial"/>
          <w:b/>
          <w:bCs/>
          <w:sz w:val="22"/>
          <w:szCs w:val="22"/>
        </w:rPr>
      </w:pPr>
      <w:r>
        <w:rPr>
          <w:rFonts w:ascii="AvenirNext LT Pro LightCn" w:hAnsi="AvenirNext LT Pro LightCn" w:cs="Arial"/>
          <w:b/>
          <w:bCs/>
          <w:sz w:val="22"/>
          <w:szCs w:val="22"/>
        </w:rPr>
        <w:t>Dans votre mémoire technique nous devons retrouver les éléments décris ci-dessous</w:t>
      </w:r>
      <w:bookmarkStart w:id="0" w:name="_GoBack"/>
      <w:bookmarkEnd w:id="0"/>
    </w:p>
    <w:p w14:paraId="1206BD17" w14:textId="77777777" w:rsidR="000E030B" w:rsidRDefault="000E030B" w:rsidP="000E030B">
      <w:pPr>
        <w:rPr>
          <w:rFonts w:ascii="AvenirNext LT Pro LightCn" w:hAnsi="AvenirNext LT Pro LightCn" w:cs="Arial"/>
          <w:b/>
          <w:bCs/>
          <w:sz w:val="22"/>
          <w:szCs w:val="22"/>
        </w:rPr>
      </w:pPr>
    </w:p>
    <w:p w14:paraId="2790E46A" w14:textId="77777777" w:rsidR="000E030B" w:rsidRPr="00201A7E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  <w:r w:rsidRPr="00201A7E">
        <w:rPr>
          <w:rFonts w:ascii="AvenirNext LT Pro LightCn" w:eastAsia="Calibri" w:hAnsi="AvenirNext LT Pro LightCn"/>
          <w:b/>
          <w:sz w:val="22"/>
          <w:szCs w:val="22"/>
          <w:lang w:eastAsia="en-US"/>
        </w:rPr>
        <w:t xml:space="preserve">Présentation de la société et de l’organisation humaine mise en place pour répondre aux besoins </w:t>
      </w:r>
      <w:r>
        <w:rPr>
          <w:rFonts w:ascii="AvenirNext LT Pro LightCn" w:eastAsia="Calibri" w:hAnsi="AvenirNext LT Pro LightCn"/>
          <w:b/>
          <w:sz w:val="22"/>
          <w:szCs w:val="22"/>
          <w:lang w:eastAsia="en-US"/>
        </w:rPr>
        <w:t>exprimés</w:t>
      </w:r>
      <w:r w:rsidRPr="00201A7E">
        <w:rPr>
          <w:rFonts w:ascii="AvenirNext LT Pro LightCn" w:eastAsia="Calibri" w:hAnsi="AvenirNext LT Pro LightCn"/>
          <w:b/>
          <w:sz w:val="22"/>
          <w:szCs w:val="22"/>
          <w:lang w:eastAsia="en-US"/>
        </w:rPr>
        <w:t xml:space="preserve"> : </w:t>
      </w:r>
    </w:p>
    <w:p w14:paraId="7C976DCD" w14:textId="77777777" w:rsidR="000E030B" w:rsidRPr="00201A7E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>organigramme</w:t>
      </w:r>
      <w:proofErr w:type="gramEnd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de l’équipe dédiée au marché, </w:t>
      </w:r>
    </w:p>
    <w:p w14:paraId="585C539F" w14:textId="77777777" w:rsidR="000E030B" w:rsidRPr="00201A7E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>nombre</w:t>
      </w:r>
      <w:proofErr w:type="gramEnd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d’effectifs affectés aux prestations, </w:t>
      </w:r>
    </w:p>
    <w:p w14:paraId="6900E83B" w14:textId="77777777" w:rsidR="000E030B" w:rsidRPr="00201A7E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>qualification</w:t>
      </w:r>
      <w:proofErr w:type="gramEnd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des effectifs affectés aux prestations, </w:t>
      </w:r>
    </w:p>
    <w:p w14:paraId="62DA07BB" w14:textId="77777777" w:rsidR="000E030B" w:rsidRPr="00201A7E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>
        <w:rPr>
          <w:rFonts w:ascii="Segoe UI Symbol" w:eastAsia="Calibri" w:hAnsi="Segoe UI Symbol" w:cs="Segoe UI Symbol"/>
          <w:sz w:val="22"/>
          <w:szCs w:val="22"/>
          <w:lang w:eastAsia="en-US"/>
        </w:rPr>
        <w:t>i</w:t>
      </w:r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>nterlocuteur</w:t>
      </w:r>
      <w:proofErr w:type="gramEnd"/>
      <w:r w:rsidRPr="00201A7E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dédié pour ce marché.</w:t>
      </w:r>
    </w:p>
    <w:p w14:paraId="61678B24" w14:textId="77777777" w:rsidR="000E030B" w:rsidRDefault="000E030B" w:rsidP="000E030B">
      <w:pPr>
        <w:jc w:val="center"/>
        <w:rPr>
          <w:rFonts w:ascii="AvenirNext LT Pro LightCn" w:hAnsi="AvenirNext LT Pro LightCn" w:cs="Arial"/>
          <w:b/>
          <w:bCs/>
          <w:sz w:val="22"/>
          <w:szCs w:val="22"/>
        </w:rPr>
      </w:pPr>
    </w:p>
    <w:p w14:paraId="5C51C7BB" w14:textId="77777777" w:rsidR="000E030B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i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Caractéristiques des véhicules utilisé</w:t>
      </w:r>
      <w:r>
        <w:rPr>
          <w:rFonts w:ascii="AvenirNext LT Pro LightCn" w:eastAsia="Calibri" w:hAnsi="AvenirNext LT Pro LightCn"/>
          <w:b/>
          <w:sz w:val="22"/>
          <w:szCs w:val="22"/>
          <w:lang w:eastAsia="en-US"/>
        </w:rPr>
        <w:t>s</w:t>
      </w: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 xml:space="preserve"> </w:t>
      </w:r>
      <w:r w:rsidRPr="000F07B7">
        <w:rPr>
          <w:rFonts w:ascii="AvenirNext LT Pro LightCn" w:eastAsia="Calibri" w:hAnsi="AvenirNext LT Pro LightCn"/>
          <w:i/>
          <w:sz w:val="22"/>
          <w:szCs w:val="22"/>
          <w:lang w:eastAsia="en-US"/>
        </w:rPr>
        <w:t>(âge, type, caractéristiques, équipements fournis, signalisation des véhicules, niveaux sonores, …).</w:t>
      </w:r>
    </w:p>
    <w:p w14:paraId="4868411A" w14:textId="77777777" w:rsidR="000E030B" w:rsidRPr="000F07B7" w:rsidRDefault="000E030B" w:rsidP="000E030B">
      <w:pPr>
        <w:ind w:left="720"/>
        <w:jc w:val="both"/>
        <w:rPr>
          <w:rFonts w:ascii="AvenirNext LT Pro LightCn" w:eastAsia="Calibri" w:hAnsi="AvenirNext LT Pro LightCn"/>
          <w:i/>
          <w:sz w:val="22"/>
          <w:szCs w:val="22"/>
          <w:lang w:eastAsia="en-US"/>
        </w:rPr>
      </w:pPr>
    </w:p>
    <w:p w14:paraId="62965910" w14:textId="77777777" w:rsidR="000E030B" w:rsidRPr="000F07B7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Matériels et outillages utilisés</w:t>
      </w:r>
    </w:p>
    <w:p w14:paraId="3CE393C1" w14:textId="77777777" w:rsidR="000E030B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 w:rsidRPr="000F3796">
        <w:rPr>
          <w:rFonts w:ascii="AvenirNext LT Pro LightCn" w:eastAsia="Calibri" w:hAnsi="AvenirNext LT Pro LightCn"/>
          <w:sz w:val="22"/>
          <w:szCs w:val="22"/>
          <w:lang w:eastAsia="en-US"/>
        </w:rPr>
        <w:t>types</w:t>
      </w:r>
      <w:proofErr w:type="gramEnd"/>
      <w:r w:rsidRPr="000F3796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des matériels et des outillages utilisés pour les prestations</w:t>
      </w:r>
      <w:r>
        <w:rPr>
          <w:rFonts w:ascii="AvenirNext LT Pro LightCn" w:eastAsia="Calibri" w:hAnsi="AvenirNext LT Pro LightCn"/>
          <w:sz w:val="22"/>
          <w:szCs w:val="22"/>
          <w:lang w:eastAsia="en-US"/>
        </w:rPr>
        <w:t>,</w:t>
      </w:r>
    </w:p>
    <w:p w14:paraId="01A81DE5" w14:textId="77777777" w:rsidR="000E030B" w:rsidRPr="000F3796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 w:rsidRPr="000F3796">
        <w:rPr>
          <w:rFonts w:ascii="AvenirNext LT Pro LightCn" w:eastAsia="Calibri" w:hAnsi="AvenirNext LT Pro LightCn"/>
          <w:sz w:val="22"/>
          <w:szCs w:val="22"/>
          <w:lang w:eastAsia="en-US"/>
        </w:rPr>
        <w:t>caractéristiques</w:t>
      </w:r>
      <w:proofErr w:type="gramEnd"/>
      <w:r w:rsidRPr="000F3796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techniques de ces éléments,</w:t>
      </w:r>
    </w:p>
    <w:p w14:paraId="298F984F" w14:textId="77777777" w:rsidR="000E030B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proofErr w:type="gramStart"/>
      <w:r w:rsidRPr="4803AF5E">
        <w:rPr>
          <w:rFonts w:ascii="AvenirNext LT Pro LightCn" w:eastAsia="Calibri" w:hAnsi="AvenirNext LT Pro LightCn"/>
          <w:sz w:val="22"/>
          <w:szCs w:val="22"/>
          <w:lang w:eastAsia="en-US"/>
        </w:rPr>
        <w:t>nombre</w:t>
      </w:r>
      <w:proofErr w:type="gramEnd"/>
      <w:r w:rsidRPr="4803AF5E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d'éléments affectés.</w:t>
      </w:r>
    </w:p>
    <w:p w14:paraId="04D2D86F" w14:textId="77777777" w:rsidR="000E030B" w:rsidRPr="00D120AC" w:rsidRDefault="000E030B" w:rsidP="000E030B">
      <w:pPr>
        <w:ind w:left="1440"/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</w:p>
    <w:p w14:paraId="27C5CF1D" w14:textId="77777777" w:rsidR="000E030B" w:rsidRPr="000F07B7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Mesures pour assurer l’hygiène et la sécurité pour l'exécution des prestations</w:t>
      </w:r>
    </w:p>
    <w:p w14:paraId="6AA750E1" w14:textId="77777777" w:rsidR="000E030B" w:rsidRPr="00D120AC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D120AC">
        <w:rPr>
          <w:rFonts w:ascii="AvenirNext LT Pro LightCn" w:eastAsia="Calibri" w:hAnsi="AvenirNext LT Pro LightCn"/>
          <w:sz w:val="22"/>
          <w:szCs w:val="22"/>
          <w:lang w:eastAsia="en-US"/>
        </w:rPr>
        <w:t>Equipements de protection individuelle (EPI)</w:t>
      </w:r>
    </w:p>
    <w:p w14:paraId="2FD6B8EB" w14:textId="77777777" w:rsidR="000E030B" w:rsidRPr="00D120AC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D120AC">
        <w:rPr>
          <w:rFonts w:ascii="AvenirNext LT Pro LightCn" w:eastAsia="Calibri" w:hAnsi="AvenirNext LT Pro LightCn"/>
          <w:sz w:val="22"/>
          <w:szCs w:val="22"/>
          <w:lang w:eastAsia="en-US"/>
        </w:rPr>
        <w:t>Protection des tiers</w:t>
      </w:r>
    </w:p>
    <w:p w14:paraId="5B80E430" w14:textId="77777777" w:rsidR="000E030B" w:rsidRPr="00D120AC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D120AC">
        <w:rPr>
          <w:rFonts w:ascii="AvenirNext LT Pro LightCn" w:eastAsia="Calibri" w:hAnsi="AvenirNext LT Pro LightCn"/>
          <w:sz w:val="22"/>
          <w:szCs w:val="22"/>
          <w:lang w:eastAsia="en-US"/>
        </w:rPr>
        <w:t>Délimitation de la zone d'intervention</w:t>
      </w:r>
    </w:p>
    <w:p w14:paraId="7ABEF6F3" w14:textId="77777777" w:rsidR="000E030B" w:rsidRPr="00D120AC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D120AC"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Gestion des matériels </w:t>
      </w:r>
      <w:r w:rsidRPr="00733480">
        <w:rPr>
          <w:rFonts w:ascii="AvenirNext LT Pro LightCn" w:eastAsia="Calibri" w:hAnsi="AvenirNext LT Pro LightCn"/>
          <w:sz w:val="22"/>
          <w:szCs w:val="22"/>
          <w:lang w:eastAsia="en-US"/>
        </w:rPr>
        <w:t>et des produits dangereux</w:t>
      </w:r>
    </w:p>
    <w:p w14:paraId="0B14CF9A" w14:textId="77777777" w:rsidR="000E030B" w:rsidRPr="00D120AC" w:rsidRDefault="000E030B" w:rsidP="000E030B">
      <w:pPr>
        <w:ind w:left="1440"/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</w:p>
    <w:p w14:paraId="386CFC38" w14:textId="77777777" w:rsidR="000E030B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Mesures prises en matière de protection de l'environnement</w:t>
      </w:r>
    </w:p>
    <w:p w14:paraId="4814CFCD" w14:textId="77777777" w:rsidR="000E030B" w:rsidRPr="000F07B7" w:rsidRDefault="000E030B" w:rsidP="000E030B">
      <w:pPr>
        <w:ind w:left="720"/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</w:p>
    <w:p w14:paraId="6174D50B" w14:textId="77777777" w:rsidR="000E030B" w:rsidRPr="00580D00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 xml:space="preserve">Gestion des déchets </w:t>
      </w:r>
    </w:p>
    <w:p w14:paraId="5A1E0493" w14:textId="77777777" w:rsidR="000E030B" w:rsidRPr="00D120AC" w:rsidRDefault="000E030B" w:rsidP="000E030B">
      <w:p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</w:p>
    <w:p w14:paraId="4CA265BA" w14:textId="77777777" w:rsidR="000E030B" w:rsidRPr="00B937A6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B937A6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Méthodologie</w:t>
      </w:r>
    </w:p>
    <w:p w14:paraId="0D2560BF" w14:textId="77777777" w:rsidR="000E030B" w:rsidRPr="00580D00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580D00">
        <w:rPr>
          <w:rFonts w:ascii="AvenirNext LT Pro LightCn" w:eastAsia="Calibri" w:hAnsi="AvenirNext LT Pro LightCn"/>
          <w:sz w:val="22"/>
          <w:szCs w:val="22"/>
          <w:lang w:eastAsia="en-US"/>
        </w:rPr>
        <w:t>Tonte d'accotement routier</w:t>
      </w:r>
    </w:p>
    <w:p w14:paraId="6DFD407F" w14:textId="77777777" w:rsidR="000E030B" w:rsidRPr="00580D00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580D00">
        <w:rPr>
          <w:rFonts w:ascii="AvenirNext LT Pro LightCn" w:eastAsia="Calibri" w:hAnsi="AvenirNext LT Pro LightCn"/>
          <w:sz w:val="22"/>
          <w:szCs w:val="22"/>
          <w:lang w:eastAsia="en-US"/>
        </w:rPr>
        <w:t>Tonte des espaces verts</w:t>
      </w:r>
    </w:p>
    <w:p w14:paraId="27A0426C" w14:textId="77777777" w:rsidR="000E030B" w:rsidRPr="00580D00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580D00">
        <w:rPr>
          <w:rFonts w:ascii="AvenirNext LT Pro LightCn" w:eastAsia="Calibri" w:hAnsi="AvenirNext LT Pro LightCn"/>
          <w:sz w:val="22"/>
          <w:szCs w:val="22"/>
          <w:lang w:eastAsia="en-US"/>
        </w:rPr>
        <w:t>Dégagement des voiries</w:t>
      </w:r>
    </w:p>
    <w:p w14:paraId="4A20ED7E" w14:textId="77777777" w:rsidR="000E030B" w:rsidRPr="00D120AC" w:rsidRDefault="000E030B" w:rsidP="000E030B">
      <w:pPr>
        <w:ind w:left="1440"/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</w:p>
    <w:p w14:paraId="6C43E6D1" w14:textId="77777777" w:rsidR="000E030B" w:rsidRPr="000F07B7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Planning prévisionnel des prestations</w:t>
      </w:r>
    </w:p>
    <w:p w14:paraId="03FADD49" w14:textId="77777777" w:rsidR="000E030B" w:rsidRPr="00D120AC" w:rsidRDefault="000E030B" w:rsidP="000E030B">
      <w:pPr>
        <w:ind w:left="1440"/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</w:p>
    <w:p w14:paraId="4A07E8A6" w14:textId="77777777" w:rsidR="000E030B" w:rsidRPr="000F07B7" w:rsidRDefault="000E030B" w:rsidP="000E030B">
      <w:pPr>
        <w:numPr>
          <w:ilvl w:val="0"/>
          <w:numId w:val="2"/>
        </w:numPr>
        <w:jc w:val="both"/>
        <w:rPr>
          <w:rFonts w:ascii="AvenirNext LT Pro LightCn" w:eastAsia="Calibri" w:hAnsi="AvenirNext LT Pro LightCn"/>
          <w:b/>
          <w:sz w:val="22"/>
          <w:szCs w:val="22"/>
          <w:lang w:eastAsia="en-US"/>
        </w:rPr>
      </w:pPr>
      <w:r w:rsidRPr="000F07B7">
        <w:rPr>
          <w:rFonts w:ascii="AvenirNext LT Pro LightCn" w:eastAsia="Calibri" w:hAnsi="AvenirNext LT Pro LightCn"/>
          <w:b/>
          <w:sz w:val="22"/>
          <w:szCs w:val="22"/>
          <w:lang w:eastAsia="en-US"/>
        </w:rPr>
        <w:t>Moyens de contrôle</w:t>
      </w:r>
    </w:p>
    <w:p w14:paraId="2C750BD0" w14:textId="77777777" w:rsidR="000E030B" w:rsidRPr="00D120AC" w:rsidRDefault="000E030B" w:rsidP="000E030B">
      <w:pPr>
        <w:numPr>
          <w:ilvl w:val="1"/>
          <w:numId w:val="1"/>
        </w:numPr>
        <w:jc w:val="both"/>
        <w:rPr>
          <w:rFonts w:ascii="AvenirNext LT Pro LightCn" w:eastAsia="Calibri" w:hAnsi="AvenirNext LT Pro LightCn"/>
          <w:sz w:val="22"/>
          <w:szCs w:val="22"/>
          <w:lang w:eastAsia="en-US"/>
        </w:rPr>
      </w:pPr>
      <w:r w:rsidRPr="00D120AC">
        <w:rPr>
          <w:rFonts w:ascii="AvenirNext LT Pro LightCn" w:eastAsia="Calibri" w:hAnsi="AvenirNext LT Pro LightCn"/>
          <w:sz w:val="22"/>
          <w:szCs w:val="22"/>
          <w:lang w:eastAsia="en-US"/>
        </w:rPr>
        <w:t>Organisation pour le contrôle</w:t>
      </w:r>
      <w:r>
        <w:rPr>
          <w:rFonts w:ascii="AvenirNext LT Pro LightCn" w:eastAsia="Calibri" w:hAnsi="AvenirNext LT Pro LightCn"/>
          <w:sz w:val="22"/>
          <w:szCs w:val="22"/>
          <w:lang w:eastAsia="en-US"/>
        </w:rPr>
        <w:t xml:space="preserve"> </w:t>
      </w:r>
      <w:r w:rsidRPr="00D120AC">
        <w:rPr>
          <w:rFonts w:ascii="AvenirNext LT Pro LightCn" w:eastAsia="Calibri" w:hAnsi="AvenirNext LT Pro LightCn"/>
          <w:sz w:val="22"/>
          <w:szCs w:val="22"/>
          <w:lang w:eastAsia="en-US"/>
        </w:rPr>
        <w:t>(encadrement affecté, description des procédures de contrôle, documents de contrôle, exploitation des résultats, améliorations prévues en fonction des résultats)</w:t>
      </w:r>
    </w:p>
    <w:p w14:paraId="2152E66F" w14:textId="77777777" w:rsidR="000E030B" w:rsidRPr="00D120AC" w:rsidRDefault="000E030B" w:rsidP="000E030B">
      <w:pPr>
        <w:jc w:val="both"/>
        <w:rPr>
          <w:rFonts w:ascii="AvenirNext LT Pro LightCn" w:hAnsi="AvenirNext LT Pro LightCn" w:cs="Arial"/>
          <w:b/>
          <w:bCs/>
          <w:sz w:val="22"/>
          <w:szCs w:val="22"/>
        </w:rPr>
      </w:pPr>
      <w:r>
        <w:rPr>
          <w:rFonts w:ascii="AvenirNext LT Pro LightCn" w:hAnsi="AvenirNext LT Pro LightCn" w:cs="Arial"/>
          <w:b/>
          <w:bCs/>
          <w:sz w:val="22"/>
          <w:szCs w:val="22"/>
        </w:rPr>
        <w:t xml:space="preserve"> </w:t>
      </w:r>
    </w:p>
    <w:p w14:paraId="0F99F241" w14:textId="77777777" w:rsidR="007F499B" w:rsidRDefault="000E030B"/>
    <w:sectPr w:rsidR="007F4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324"/>
    <w:multiLevelType w:val="multilevel"/>
    <w:tmpl w:val="BFBA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D3583F"/>
    <w:multiLevelType w:val="multilevel"/>
    <w:tmpl w:val="1D1293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0C"/>
    <w:rsid w:val="000E030B"/>
    <w:rsid w:val="00A4190D"/>
    <w:rsid w:val="00E513DB"/>
    <w:rsid w:val="00E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E8D3"/>
  <w15:chartTrackingRefBased/>
  <w15:docId w15:val="{027C1FDF-FEED-4469-BE75-39027980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0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Citounadin</dc:creator>
  <cp:keywords/>
  <dc:description/>
  <cp:lastModifiedBy>Sarah Citounadin</cp:lastModifiedBy>
  <cp:revision>2</cp:revision>
  <dcterms:created xsi:type="dcterms:W3CDTF">2026-02-04T20:01:00Z</dcterms:created>
  <dcterms:modified xsi:type="dcterms:W3CDTF">2026-02-04T20:02:00Z</dcterms:modified>
</cp:coreProperties>
</file>